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09" w:top="1701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/... Edital </w:t>
      </w:r>
      <w:r>
        <w:rPr>
          <w:rFonts w:cs="Arial" w:ascii="Arial" w:hAnsi="Arial"/>
          <w:i/>
          <w:iCs/>
          <w:sz w:val="22"/>
          <w:szCs w:val="22"/>
          <w:shd w:fill="auto" w:val="clear"/>
        </w:rPr>
        <w:t>006</w:t>
      </w:r>
      <w:r>
        <w:rPr>
          <w:rFonts w:cs="Arial" w:ascii="Arial" w:hAnsi="Arial"/>
          <w:i/>
          <w:iCs/>
          <w:sz w:val="22"/>
          <w:szCs w:val="22"/>
        </w:rPr>
        <w:t>/2024–PMU</w:t>
        <w:tab/>
        <w:tab/>
        <w:tab/>
        <w:tab/>
        <w:tab/>
        <w:tab/>
        <w:tab/>
        <w:tab/>
        <w:t xml:space="preserve">fls. </w:t>
      </w:r>
      <w:r>
        <w:rPr>
          <w:rFonts w:cs="Arial" w:ascii="Arial" w:hAnsi="Arial"/>
          <w:i/>
          <w:iCs/>
          <w:sz w:val="22"/>
          <w:szCs w:val="22"/>
        </w:rPr>
        <w:fldChar w:fldCharType="begin"/>
      </w:r>
      <w:r>
        <w:rPr>
          <w:sz w:val="22"/>
          <w:i/>
          <w:szCs w:val="22"/>
          <w:iCs/>
          <w:rFonts w:cs="Arial" w:ascii="Arial" w:hAnsi="Arial"/>
        </w:rPr>
        <w:instrText xml:space="preserve"> PAGE </w:instrText>
      </w:r>
      <w:r>
        <w:rPr>
          <w:sz w:val="22"/>
          <w:i/>
          <w:szCs w:val="22"/>
          <w:iCs/>
          <w:rFonts w:cs="Arial" w:ascii="Arial" w:hAnsi="Arial"/>
        </w:rPr>
        <w:fldChar w:fldCharType="separate"/>
      </w:r>
      <w:r>
        <w:rPr>
          <w:sz w:val="22"/>
          <w:i/>
          <w:szCs w:val="22"/>
          <w:iCs/>
          <w:rFonts w:cs="Arial" w:ascii="Arial" w:hAnsi="Arial"/>
        </w:rPr>
        <w:t>1</w:t>
      </w:r>
      <w:r>
        <w:rPr>
          <w:sz w:val="22"/>
          <w:i/>
          <w:szCs w:val="22"/>
          <w:iCs/>
          <w:rFonts w:cs="Arial" w:ascii="Arial" w:hAnsi="Arial"/>
        </w:rPr>
        <w:fldChar w:fldCharType="end"/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  <w:t>ANEXO II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Arial" w:hAnsi="Arial" w:cs="Arial"/>
          <w:i/>
          <w:i/>
          <w:iCs/>
          <w:sz w:val="28"/>
          <w:szCs w:val="28"/>
        </w:rPr>
      </w:pPr>
      <w:r>
        <w:rPr>
          <w:rFonts w:cs="Arial" w:ascii="Arial" w:hAnsi="Arial"/>
          <w:i/>
          <w:i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  <w:t>TABELA DE PONTUAÇÃO PARA ANÁLISE DA PRODUÇÃO ACADÊMICA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  <w:u w:val="single"/>
          <w:lang w:val="pt-BR"/>
        </w:rPr>
        <w:t>OBS</w:t>
      </w:r>
      <w:r>
        <w:rPr>
          <w:rFonts w:cs="Arial" w:ascii="Arial" w:hAnsi="Arial"/>
          <w:b w:val="false"/>
          <w:bCs w:val="false"/>
          <w:color w:val="000000"/>
          <w:lang w:val="pt-BR"/>
        </w:rPr>
        <w:t>: INFORMAR SOMENTE A PRODUÇÃO DOS ANOS 2020, 2021, 2022 e 2023.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  <w:lang w:val="pt-BR"/>
        </w:rPr>
        <w:t xml:space="preserve">TODAS AS INFORMAÇÕES DEVERÃO CONSTAR DO CURRÍCULO </w:t>
      </w:r>
      <w:r>
        <w:rPr>
          <w:rFonts w:cs="Arial" w:ascii="Arial" w:hAnsi="Arial"/>
          <w:b w:val="false"/>
          <w:bCs w:val="false"/>
          <w:i/>
          <w:color w:val="000000"/>
          <w:lang w:val="pt-BR"/>
        </w:rPr>
        <w:t>LATTES</w:t>
      </w:r>
      <w:r>
        <w:rPr>
          <w:rFonts w:cs="Arial" w:ascii="Arial" w:hAnsi="Arial"/>
          <w:b w:val="false"/>
          <w:bCs w:val="false"/>
          <w:color w:val="000000"/>
          <w:lang w:val="pt-BR"/>
        </w:rPr>
        <w:t xml:space="preserve">  DOCUMENTADO E AN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pt-BR"/>
        </w:rPr>
        <w:t>EXADO N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pt-BR" w:bidi="ar-SA"/>
        </w:rPr>
        <w:t>A INSCRIÇÃO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pt-BR"/>
        </w:rPr>
        <w:t>.</w:t>
      </w:r>
    </w:p>
    <w:p>
      <w:pPr>
        <w:pStyle w:val="Normal"/>
        <w:rPr>
          <w:rFonts w:ascii="Arial" w:hAnsi="Arial" w:cs="Arial"/>
          <w:b/>
          <w:b/>
          <w:color w:val="FF0000"/>
          <w:lang w:val="pt-BR"/>
        </w:rPr>
      </w:pPr>
      <w:r>
        <w:rPr>
          <w:rFonts w:cs="Arial" w:ascii="Arial" w:hAnsi="Arial"/>
          <w:b/>
          <w:color w:val="FF0000"/>
          <w:lang w:val="pt-BR"/>
        </w:rPr>
      </w:r>
    </w:p>
    <w:tbl>
      <w:tblPr>
        <w:tblW w:w="9463" w:type="dxa"/>
        <w:jc w:val="left"/>
        <w:tblInd w:w="-429" w:type="dxa"/>
        <w:tblLayout w:type="fixed"/>
        <w:tblCellMar>
          <w:top w:w="0" w:type="dxa"/>
          <w:left w:w="15" w:type="dxa"/>
          <w:bottom w:w="0" w:type="dxa"/>
          <w:right w:w="7" w:type="dxa"/>
        </w:tblCellMar>
      </w:tblPr>
      <w:tblGrid>
        <w:gridCol w:w="6638"/>
        <w:gridCol w:w="901"/>
        <w:gridCol w:w="1025"/>
        <w:gridCol w:w="898"/>
      </w:tblGrid>
      <w:tr>
        <w:trPr>
          <w:tblHeader w:val="true"/>
        </w:trPr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widowControl w:val="false"/>
              <w:numPr>
                <w:ilvl w:val="2"/>
                <w:numId w:val="1"/>
              </w:numPr>
              <w:spacing w:lineRule="auto" w:line="240" w:before="74" w:after="74"/>
              <w:ind w:left="720" w:right="0" w:hanging="72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DISCRIMINAÇÃO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74" w:after="74"/>
              <w:ind w:left="0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QTDE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74" w:after="74"/>
              <w:ind w:left="0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PONTOS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74" w:after="74"/>
              <w:ind w:left="0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TOTAL</w:t>
            </w:r>
          </w:p>
        </w:tc>
      </w:tr>
      <w:tr>
        <w:trPr/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widowControl w:val="false"/>
              <w:numPr>
                <w:ilvl w:val="2"/>
                <w:numId w:val="1"/>
              </w:numPr>
              <w:spacing w:lineRule="auto" w:line="240" w:before="74" w:after="74"/>
              <w:ind w:left="720" w:right="0" w:hanging="72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CATEGORIA 1</w:t>
            </w:r>
          </w:p>
        </w:tc>
        <w:tc>
          <w:tcPr>
            <w:tcW w:w="28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74" w:after="74"/>
              <w:ind w:left="0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PESO 2,5</w:t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85" w:right="85" w:hanging="0"/>
              <w:jc w:val="both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1.1 Participação em projeto institucional de pesquisa ou extensão da UEM (pontuação por ano de participação)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0" w:right="85" w:hanging="0"/>
              <w:jc w:val="both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 xml:space="preserve">1.2. Participação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bidi="ar-SA"/>
              </w:rPr>
              <w:t>em grupo de pesquisa da UEM (pontuação por ano de participação)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0" w:right="85" w:hanging="0"/>
              <w:jc w:val="both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 xml:space="preserve">1.3.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bidi="ar-SA"/>
              </w:rPr>
              <w:t xml:space="preserve">Cursos de Especialização (pós-graduação </w:t>
            </w:r>
            <w:r>
              <w:rPr>
                <w:rFonts w:eastAsia="Times New Roman" w:cs="Arial" w:ascii="Arial" w:hAnsi="Arial"/>
                <w:b/>
                <w:i/>
                <w:iCs/>
                <w:color w:val="000000"/>
                <w:sz w:val="18"/>
                <w:szCs w:val="18"/>
                <w:shd w:fill="auto" w:val="clear"/>
                <w:lang w:val="pt-BR" w:bidi="ar-SA"/>
              </w:rPr>
              <w:t>lato sensu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bidi="ar-SA"/>
              </w:rPr>
              <w:t>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0" w:right="85" w:hanging="0"/>
              <w:jc w:val="both"/>
              <w:rPr>
                <w:rFonts w:ascii="Arial" w:hAnsi="Arial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shd w:fill="auto" w:val="clear"/>
              </w:rPr>
              <w:t>1.4. Atividade docente em Ensino de M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sz w:val="18"/>
                <w:szCs w:val="18"/>
                <w:shd w:fill="auto" w:val="clear"/>
                <w:lang w:val="pt-BR" w:eastAsia="zh-CN" w:bidi="ar-SA"/>
              </w:rPr>
              <w:t>úsica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8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9462" w:type="dxa"/>
            <w:gridSpan w:val="4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57" w:after="57"/>
              <w:ind w:left="85" w:right="85" w:hanging="0"/>
              <w:jc w:val="both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85" w:right="85" w:hanging="0"/>
              <w:jc w:val="center"/>
              <w:rPr>
                <w:rFonts w:ascii="Arial" w:hAnsi="Arial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shd w:fill="auto" w:val="clear"/>
              </w:rPr>
              <w:t>CATEGORIA 2</w:t>
            </w:r>
          </w:p>
        </w:tc>
        <w:tc>
          <w:tcPr>
            <w:tcW w:w="28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PESO 3,25</w:t>
            </w:r>
          </w:p>
        </w:tc>
      </w:tr>
      <w:tr>
        <w:trPr/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85" w:right="85" w:hanging="0"/>
              <w:jc w:val="both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 xml:space="preserve">2.1. Artigos completos 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  <w:u w:val="single"/>
                <w:shd w:fill="auto" w:val="clear"/>
                <w:lang w:val="pt-BR"/>
              </w:rPr>
              <w:t>publicados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 xml:space="preserve"> em periódicos científicos especializados com corpo editorial, constantes nas normativas da área do Qualis/Capes, considerando o maior qualis do referido periódico e classificados nos seguintes estratos: 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2.1.1. Estrato indicativo da qualidade A1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2.1.2. Estrato indicativo da qualidade A2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85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2.1.3. Estrato indicativo da qualidade A3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70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2.1.4. Estrato indicativo da qualidade A4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55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2.1.5. Estrato indicativo da qualidade B1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2.1.6. Estrato indicativo da qualidade B2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2.1.7. Estrato indicativo da qualidade B3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0" w:right="85" w:hanging="0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2.1.8. Estrato indicativo da qualidade B4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05" w:right="85" w:hanging="420"/>
              <w:jc w:val="both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 xml:space="preserve">2.2.    Resenhas e artigos completos publicados em revistas indexadas e não pontuados no item </w:t>
            </w: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eastAsia="zh-CN" w:bidi="ar-SA"/>
              </w:rPr>
              <w:t>2.1.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74" w:after="74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05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before="57" w:after="57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2.3.    Livros Nacionais (com corpo editorial)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 xml:space="preserve">2.3.1 Autores de Livros  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4" w:after="74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80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 xml:space="preserve">2.3.2. Autores de Capítulos de Livros (limitado a 01 capítulo por livro) 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4" w:after="74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35</w:t>
            </w:r>
          </w:p>
        </w:tc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63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74" w:after="74"/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2.3.3. Tradução de Livros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74" w:after="74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75</w:t>
            </w:r>
          </w:p>
        </w:tc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</w:tbl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  <w:lang w:val="pt-BR"/>
        </w:rPr>
      </w:pPr>
      <w:r>
        <w:rPr>
          <w:rFonts w:cs="Arial" w:ascii="Arial" w:hAnsi="Arial"/>
          <w:i/>
          <w:iCs/>
          <w:sz w:val="22"/>
          <w:szCs w:val="22"/>
          <w:lang w:val="pt-B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  <w:r>
        <w:br w:type="page"/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/... Edital </w:t>
      </w:r>
      <w:r>
        <w:rPr>
          <w:rFonts w:cs="Arial" w:ascii="Arial" w:hAnsi="Arial"/>
          <w:i/>
          <w:iCs/>
          <w:sz w:val="22"/>
          <w:szCs w:val="22"/>
          <w:shd w:fill="auto" w:val="clear"/>
        </w:rPr>
        <w:t>006</w:t>
      </w:r>
      <w:r>
        <w:rPr>
          <w:rFonts w:cs="Arial" w:ascii="Arial" w:hAnsi="Arial"/>
          <w:i/>
          <w:iCs/>
          <w:sz w:val="22"/>
          <w:szCs w:val="22"/>
        </w:rPr>
        <w:t>/2024–PMU</w:t>
        <w:tab/>
        <w:tab/>
        <w:tab/>
        <w:tab/>
        <w:tab/>
        <w:tab/>
        <w:tab/>
        <w:tab/>
        <w:t xml:space="preserve">fls. </w:t>
      </w:r>
      <w:r>
        <w:rPr>
          <w:rFonts w:cs="Arial" w:ascii="Arial" w:hAnsi="Arial"/>
          <w:i/>
          <w:iCs/>
          <w:sz w:val="22"/>
          <w:szCs w:val="22"/>
        </w:rPr>
        <w:fldChar w:fldCharType="begin"/>
      </w:r>
      <w:r>
        <w:rPr>
          <w:sz w:val="22"/>
          <w:i/>
          <w:szCs w:val="22"/>
          <w:iCs/>
          <w:rFonts w:cs="Arial" w:ascii="Arial" w:hAnsi="Arial"/>
        </w:rPr>
        <w:instrText xml:space="preserve"> PAGE </w:instrText>
      </w:r>
      <w:r>
        <w:rPr>
          <w:sz w:val="22"/>
          <w:i/>
          <w:szCs w:val="22"/>
          <w:iCs/>
          <w:rFonts w:cs="Arial" w:ascii="Arial" w:hAnsi="Arial"/>
        </w:rPr>
        <w:fldChar w:fldCharType="separate"/>
      </w:r>
      <w:r>
        <w:rPr>
          <w:sz w:val="22"/>
          <w:i/>
          <w:szCs w:val="22"/>
          <w:iCs/>
          <w:rFonts w:cs="Arial" w:ascii="Arial" w:hAnsi="Arial"/>
        </w:rPr>
        <w:t>2</w:t>
      </w:r>
      <w:r>
        <w:rPr>
          <w:sz w:val="22"/>
          <w:i/>
          <w:szCs w:val="22"/>
          <w:iCs/>
          <w:rFonts w:cs="Arial" w:ascii="Arial" w:hAnsi="Arial"/>
        </w:rPr>
        <w:fldChar w:fldCharType="end"/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Arial" w:hAnsi="Arial" w:cs="Arial"/>
          <w:b/>
          <w:b/>
          <w:i w:val="false"/>
          <w:i w:val="false"/>
          <w:iCs w:val="false"/>
          <w:color w:val="000000"/>
          <w:sz w:val="28"/>
          <w:szCs w:val="28"/>
          <w:lang w:val="pt-BR"/>
        </w:rPr>
      </w:pPr>
      <w:r>
        <w:rPr>
          <w:rFonts w:cs="Arial" w:ascii="Arial" w:hAnsi="Arial"/>
          <w:b/>
          <w:i w:val="false"/>
          <w:iCs w:val="false"/>
          <w:color w:val="000000"/>
          <w:sz w:val="28"/>
          <w:szCs w:val="28"/>
          <w:lang w:val="pt-BR"/>
        </w:rPr>
        <w:t>ANEXO II (continuação)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Arial" w:hAnsi="Arial" w:cs="Arial"/>
          <w:b/>
          <w:b/>
          <w:i w:val="false"/>
          <w:i w:val="false"/>
          <w:iCs w:val="false"/>
          <w:color w:val="000000"/>
          <w:sz w:val="28"/>
          <w:szCs w:val="28"/>
          <w:lang w:val="pt-BR"/>
        </w:rPr>
      </w:pPr>
      <w:r>
        <w:rPr>
          <w:rFonts w:cs="Arial" w:ascii="Arial" w:hAnsi="Arial"/>
          <w:b/>
          <w:i w:val="false"/>
          <w:iCs w:val="false"/>
          <w:color w:val="000000"/>
          <w:sz w:val="28"/>
          <w:szCs w:val="28"/>
          <w:lang w:val="pt-BR"/>
        </w:rPr>
      </w:r>
    </w:p>
    <w:tbl>
      <w:tblPr>
        <w:tblW w:w="9413" w:type="dxa"/>
        <w:jc w:val="left"/>
        <w:tblInd w:w="-429" w:type="dxa"/>
        <w:tblLayout w:type="fixed"/>
        <w:tblCellMar>
          <w:top w:w="0" w:type="dxa"/>
          <w:left w:w="15" w:type="dxa"/>
          <w:bottom w:w="0" w:type="dxa"/>
          <w:right w:w="7" w:type="dxa"/>
        </w:tblCellMar>
      </w:tblPr>
      <w:tblGrid>
        <w:gridCol w:w="6912"/>
        <w:gridCol w:w="737"/>
        <w:gridCol w:w="963"/>
        <w:gridCol w:w="800"/>
      </w:tblGrid>
      <w:tr>
        <w:trPr>
          <w:tblHeader w:val="true"/>
        </w:trPr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tulo3"/>
              <w:widowControl w:val="false"/>
              <w:numPr>
                <w:ilvl w:val="2"/>
                <w:numId w:val="1"/>
              </w:numPr>
              <w:spacing w:lineRule="auto" w:line="360" w:before="240" w:after="120"/>
              <w:ind w:left="720" w:right="0" w:hanging="72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DISCRIMINAÇÃO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360" w:before="240" w:after="120"/>
              <w:ind w:left="0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QTDE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360" w:before="240" w:after="120"/>
              <w:ind w:left="0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PONTOS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360" w:before="240" w:after="120"/>
              <w:ind w:left="0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TOTAL</w:t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12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2.4     Livros Internacionais (com corpo editorial)</w:t>
            </w: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 xml:space="preserve"> 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 xml:space="preserve">2.4.1. Autores de Livros 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120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2.4.2. Autores de Capítulos de Livros (limitado a 01 capítulo por livro)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50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12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2.5</w:t>
              <w:tab/>
              <w:t>Trabalhos Completos publicados em Anais de Congressos Científicos com corpo editorial ou comissão científica.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2.5.1. Internacionais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eastAsia="zh-CN" w:bidi="ar-SA"/>
              </w:rPr>
              <w:t>20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0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2.5.2.  Nacionais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15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12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2.6</w:t>
              <w:tab/>
              <w:t>Resumos publicados em Anais de Congressos Científicos com corpo editorial ou comissão científica.</w:t>
            </w:r>
          </w:p>
        </w:tc>
        <w:tc>
          <w:tcPr>
            <w:tcW w:w="737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00" w:type="dxa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2.6.1. Internacionais</w:t>
            </w:r>
          </w:p>
        </w:tc>
        <w:tc>
          <w:tcPr>
            <w:tcW w:w="737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eastAsia="zh-CN" w:bidi="ar-SA"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60" w:after="60"/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2.6.2. Nacionais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8"/>
                <w:szCs w:val="18"/>
                <w:shd w:fill="auto" w:val="clear"/>
                <w:lang w:val="pt-BR" w:eastAsia="zh-CN" w:bidi="ar-SA"/>
              </w:rPr>
              <w:t>7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60"/>
              <w:ind w:left="85" w:right="85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941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120" w:after="12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shd w:fill="auto" w:val="clear"/>
                <w:lang w:val="pt-BR"/>
              </w:rPr>
              <w:t>CATEGORIA 3</w:t>
            </w:r>
          </w:p>
        </w:tc>
        <w:tc>
          <w:tcPr>
            <w:tcW w:w="25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PESO 3,25</w:t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3. Produção Artística (partituras, vídeos, gravações, concertos, produções musicais e/ou teatrais, projetos educacionais e outros), relacionada à linha de pesquisa na qual o pesquisador atua, nacional ou internacional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3.1. Contemplada por seleção, edital ou convite, de abrangência internacional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3.2. Contemplada por seleção, edital ou convite, de abrangência 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85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3.3. Não contemplada por seleção, edital ou convite, mas tornada pública em local ou por instituição de relevância internacional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25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3.4. Não contemplada por seleção, edital ou convite, mas tornada pública em local ou por instituição de relevância 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>3.5. Outras apresentações artísticas (relacionadas à linha) tornadas públicas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5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9412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rFonts w:ascii="Arial" w:hAnsi="Arial" w:cs="Arial"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spacing w:before="120" w:after="120"/>
              <w:ind w:left="85" w:right="85" w:hanging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shd w:fill="auto" w:val="clear"/>
                <w:lang w:val="pt-BR"/>
              </w:rPr>
              <w:t>CATEGORIA 4</w:t>
            </w:r>
          </w:p>
        </w:tc>
        <w:tc>
          <w:tcPr>
            <w:tcW w:w="25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PESO 1</w:t>
            </w:r>
          </w:p>
        </w:tc>
      </w:tr>
      <w:tr>
        <w:trPr/>
        <w:tc>
          <w:tcPr>
            <w:tcW w:w="6912" w:type="dxa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4. Produção Artística (partituras, vídeos, gravações, concertos, produções teatrais e outros), não relacionada à linha de pesquisa na qual o pesquisador atua, nacional ou internacional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 xml:space="preserve">4.1 Internacional </w:t>
            </w:r>
          </w:p>
        </w:tc>
        <w:tc>
          <w:tcPr>
            <w:tcW w:w="73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8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  <w:tr>
        <w:trPr/>
        <w:tc>
          <w:tcPr>
            <w:tcW w:w="6912" w:type="dxa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69" w:leader="dot"/>
              </w:tabs>
              <w:ind w:left="510" w:right="85" w:hanging="425"/>
              <w:jc w:val="both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shd w:fill="auto" w:val="clear"/>
                <w:lang w:val="pt-BR"/>
              </w:rPr>
              <w:t xml:space="preserve">4.2 Nacional 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85" w:hanging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  <w:t>5</w:t>
            </w:r>
          </w:p>
        </w:tc>
        <w:tc>
          <w:tcPr>
            <w:tcW w:w="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0" w:right="85" w:hanging="0"/>
              <w:jc w:val="center"/>
              <w:outlineLvl w:val="2"/>
              <w:rPr>
                <w:rFonts w:ascii="Arial" w:hAnsi="Arial" w:cs="Arial"/>
                <w:b/>
                <w:b/>
                <w:color w:val="000000"/>
                <w:sz w:val="18"/>
                <w:szCs w:val="18"/>
                <w:shd w:fill="auto" w:val="clear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shd w:fill="auto" w:val="clear"/>
                <w:lang w:val="pt-BR"/>
              </w:rPr>
            </w:r>
          </w:p>
        </w:tc>
      </w:tr>
    </w:tbl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  <w:lang w:val="pt-BR"/>
        </w:rPr>
      </w:pPr>
      <w:r>
        <w:rPr>
          <w:rFonts w:cs="Arial" w:ascii="Arial" w:hAnsi="Arial"/>
          <w:i/>
          <w:iCs/>
          <w:sz w:val="22"/>
          <w:szCs w:val="22"/>
          <w:lang w:val="pt-B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OBS: os candidatos serão classificados pela média ponderada das pontuações, conforme os pesos indicados para as categorias 1, 2, 3 e 4, da seguinte maneira:</w:t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Pt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Cat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2,5</m:t>
              </m:r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Pt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Cat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3,25</m:t>
              </m:r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Pt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Cat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3,25</m:t>
              </m:r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Pt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Cat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sub>
              </m:sSub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1</m:t>
              </m:r>
            </m:num>
            <m:den>
              <m:r>
                <w:rPr>
                  <w:rFonts w:ascii="Cambria Math" w:hAnsi="Cambria Math"/>
                </w:rPr>
                <m:t xml:space="preserve">10</m:t>
              </m:r>
            </m:den>
          </m:f>
        </m:oMath>
      </m:oMathPara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ATENÇ</w:t>
      </w:r>
      <w:r>
        <w:rPr>
          <w:rFonts w:eastAsia="Times New Roman" w:cs="Arial" w:ascii="Arial" w:hAnsi="Arial"/>
          <w:i/>
          <w:iCs/>
          <w:color w:val="auto"/>
          <w:sz w:val="22"/>
          <w:szCs w:val="22"/>
          <w:lang w:val="pt-BR" w:eastAsia="zh-CN" w:bidi="ar-SA"/>
        </w:rPr>
        <w:t>ÃO: Para os candidatos que tiveram bolsas vigentes até março de 2024 a nota final,  resultante da formula acima, será multiplicada por fator (variando de 0,0 a 1,0) extraído da avaliação do rendimento do discente informada pelo(a) seu/sua orientador(a) à comissão de bolsas, atendendo o disposto no Artigo 6, Incisos I e II do Edital 007/2023-PMU</w:t>
      </w:r>
    </w:p>
    <w:p>
      <w:pPr>
        <w:pStyle w:val="Normal"/>
        <w:widowControl/>
        <w:suppressAutoHyphens w:val="true"/>
        <w:bidi w:val="0"/>
        <w:ind w:left="0" w:right="0" w:hanging="0"/>
        <w:jc w:val="left"/>
        <w:rPr>
          <w:rFonts w:ascii="Arial" w:hAnsi="Arial" w:cs="Arial"/>
          <w:i/>
          <w:i/>
          <w:iCs/>
          <w:sz w:val="22"/>
          <w:szCs w:val="22"/>
        </w:rPr>
      </w:pPr>
      <w:r>
        <w:rPr/>
      </w:r>
    </w:p>
    <w:sectPr>
      <w:type w:val="continuous"/>
      <w:pgSz w:w="11906" w:h="16838"/>
      <w:pgMar w:left="1701" w:right="1134" w:gutter="0" w:header="709" w:top="1701" w:footer="709" w:bottom="1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 w:cs="Helvetica;Arial"/>
        <w:sz w:val="12"/>
        <w:szCs w:val="12"/>
      </w:rPr>
    </w:pPr>
    <w:r>
      <w:rPr>
        <w:rFonts w:cs="Helvetica;Arial"/>
        <w:sz w:val="12"/>
        <w:szCs w:val="12"/>
      </w:rPr>
    </w:r>
  </w:p>
  <w:p>
    <w:pPr>
      <w:pStyle w:val="Rodap"/>
      <w:jc w:val="center"/>
      <w:rPr>
        <w:rFonts w:ascii="Times New Roman" w:hAnsi="Times New Roman"/>
        <w:sz w:val="16"/>
      </w:rPr>
    </w:pPr>
    <w:r>
      <w:rPr>
        <w:sz w:val="16"/>
      </w:rPr>
      <w:t>Av. Colombo, 5.790 – Campus Universitário – CEP 87.020-900 – Maringá -PR</w:t>
    </w:r>
  </w:p>
  <w:p>
    <w:pPr>
      <w:pStyle w:val="Rodap"/>
      <w:jc w:val="center"/>
      <w:rPr>
        <w:rFonts w:ascii="Times New Roman" w:hAnsi="Times New Roman" w:cs="Helvetica;Arial"/>
        <w:sz w:val="16"/>
        <w:szCs w:val="16"/>
      </w:rPr>
    </w:pPr>
    <w:r>
      <w:rPr>
        <w:rFonts w:cs="Helvetica;Arial"/>
        <w:sz w:val="16"/>
        <w:szCs w:val="16"/>
      </w:rPr>
      <w:t>Fone: (44) 3011-4092 – www.pmu.uem.br – e-mail: sec-pmu@uem.br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60" w:type="dxa"/>
      <w:jc w:val="left"/>
      <w:tblInd w:w="-72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57"/>
      <w:gridCol w:w="7921"/>
      <w:gridCol w:w="1082"/>
    </w:tblGrid>
    <w:tr>
      <w:trPr>
        <w:cantSplit w:val="true"/>
      </w:trPr>
      <w:tc>
        <w:tcPr>
          <w:tcW w:w="1257" w:type="dxa"/>
          <w:vMerge w:val="restart"/>
          <w:tcBorders/>
        </w:tcPr>
        <w:p>
          <w:pPr>
            <w:pStyle w:val="Rodap"/>
            <w:widowControl w:val="false"/>
            <w:snapToGrid w:val="false"/>
            <w:jc w:val="center"/>
            <w:rPr>
              <w:rFonts w:ascii="Helvetica;Arial" w:hAnsi="Helvetica;Arial" w:cs="Helvetica;Arial"/>
              <w:sz w:val="20"/>
              <w:szCs w:val="20"/>
            </w:rPr>
          </w:pPr>
          <w:r>
            <w:rPr/>
            <w:drawing>
              <wp:inline distT="0" distB="0" distL="0" distR="0">
                <wp:extent cx="661035" cy="705485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5" t="-61" r="-65" b="-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1" w:type="dxa"/>
          <w:tcBorders/>
          <w:vAlign w:val="center"/>
        </w:tcPr>
        <w:p>
          <w:pPr>
            <w:pStyle w:val="Rodap"/>
            <w:widowControl w:val="false"/>
            <w:snapToGrid w:val="false"/>
            <w:rPr>
              <w:rFonts w:ascii="Helvetica;Arial" w:hAnsi="Helvetica;Arial" w:cs="Helvetica;Arial"/>
              <w:sz w:val="50"/>
              <w:szCs w:val="50"/>
            </w:rPr>
          </w:pPr>
          <w:r>
            <w:rPr>
              <w:rFonts w:cs="Helvetica;Arial" w:ascii="Helvetica;Arial" w:hAnsi="Helvetica;Arial"/>
              <w:sz w:val="50"/>
              <w:szCs w:val="50"/>
            </w:rPr>
            <w:t>Universidade Estadual de Maringá</w:t>
          </w:r>
        </w:p>
      </w:tc>
      <w:tc>
        <w:tcPr>
          <w:tcW w:w="1082" w:type="dxa"/>
          <w:vMerge w:val="restart"/>
          <w:tcBorders/>
        </w:tcPr>
        <w:p>
          <w:pPr>
            <w:pStyle w:val="Rodap"/>
            <w:widowControl w:val="false"/>
            <w:jc w:val="center"/>
            <w:rPr>
              <w:rFonts w:ascii="Helvetica;Arial" w:hAnsi="Helvetica;Arial" w:cs="Helvetica;Arial"/>
              <w:sz w:val="20"/>
              <w:szCs w:val="20"/>
            </w:rPr>
          </w:pPr>
          <w:r>
            <w:rPr/>
            <w:drawing>
              <wp:inline distT="0" distB="0" distL="0" distR="0">
                <wp:extent cx="678180" cy="739775"/>
                <wp:effectExtent l="0" t="0" r="0" b="0"/>
                <wp:docPr id="2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4" t="-30" r="-34" b="-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11" w:hRule="atLeast"/>
        <w:cantSplit w:val="true"/>
      </w:trPr>
      <w:tc>
        <w:tcPr>
          <w:tcW w:w="1257" w:type="dxa"/>
          <w:vMerge w:val="continue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7921" w:type="dxa"/>
          <w:tcBorders/>
          <w:vAlign w:val="center"/>
        </w:tcPr>
        <w:p>
          <w:pPr>
            <w:pStyle w:val="Rodap"/>
            <w:widowControl w:val="false"/>
            <w:snapToGrid w:val="false"/>
            <w:rPr>
              <w:rFonts w:ascii="Helvetica;Arial" w:hAnsi="Helvetica;Arial" w:cs="Helvetica;Arial"/>
              <w:sz w:val="24"/>
              <w:szCs w:val="24"/>
            </w:rPr>
          </w:pPr>
          <w:r>
            <w:rPr>
              <w:rFonts w:cs="Helvetica;Arial" w:ascii="Helvetica;Arial" w:hAnsi="Helvetica;Arial"/>
              <w:sz w:val="24"/>
              <w:szCs w:val="24"/>
            </w:rPr>
            <w:t>Centro de Ciências Humanas, Letras e Artes</w:t>
          </w:r>
        </w:p>
        <w:p>
          <w:pPr>
            <w:pStyle w:val="Rodap"/>
            <w:widowControl w:val="false"/>
            <w:snapToGrid w:val="false"/>
            <w:rPr>
              <w:rFonts w:ascii="Helvetica;Arial" w:hAnsi="Helvetica;Arial" w:cs="Helvetica;Arial"/>
              <w:sz w:val="24"/>
              <w:szCs w:val="24"/>
            </w:rPr>
          </w:pPr>
          <w:r>
            <w:rPr>
              <w:rFonts w:cs="Helvetica;Arial" w:ascii="Helvetica;Arial" w:hAnsi="Helvetica;Arial"/>
              <w:sz w:val="24"/>
              <w:szCs w:val="24"/>
            </w:rPr>
            <w:t>Programa de Pós-graduação em Música</w:t>
          </w:r>
        </w:p>
      </w:tc>
      <w:tc>
        <w:tcPr>
          <w:tcW w:w="1082" w:type="dxa"/>
          <w:vMerge w:val="continue"/>
          <w:tcBorders/>
        </w:tcPr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Rodap"/>
      <w:rPr>
        <w:sz w:val="6"/>
        <w:szCs w:val="6"/>
      </w:rPr>
    </w:pPr>
    <w:r>
      <w:rPr>
        <w:sz w:val="6"/>
        <w:szCs w:val="6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960120</wp:posOffset>
          </wp:positionH>
          <wp:positionV relativeFrom="paragraph">
            <wp:posOffset>2525395</wp:posOffset>
          </wp:positionV>
          <wp:extent cx="3993515" cy="4906645"/>
          <wp:effectExtent l="0" t="0" r="0" b="0"/>
          <wp:wrapNone/>
          <wp:docPr id="3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 l="-54" t="-44" r="-5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4906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suppressAutoHyphens w:val="true"/>
      <w:spacing w:lineRule="auto" w:line="240" w:before="240" w:after="60"/>
      <w:ind w:left="720" w:right="0" w:hanging="720"/>
      <w:outlineLvl w:val="2"/>
    </w:pPr>
    <w:rPr>
      <w:rFonts w:ascii="Arial" w:hAnsi="Arial" w:eastAsia="Times New Roman" w:cs="Arial"/>
      <w:bCs/>
      <w:sz w:val="26"/>
      <w:szCs w:val="26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odyTextIndent2">
    <w:name w:val="Body Text Indent 2"/>
    <w:basedOn w:val="Normal"/>
    <w:qFormat/>
    <w:pPr>
      <w:ind w:left="0" w:right="0" w:firstLine="1416"/>
      <w:jc w:val="left"/>
    </w:pPr>
    <w:rPr>
      <w:rFonts w:ascii="Arial" w:hAnsi="Arial" w:cs="Arial"/>
      <w:sz w:val="24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1408</TotalTime>
  <Application>LibreOffice/7.3.7.2$Linux_X86_64 LibreOffice_project/30$Build-2</Application>
  <AppVersion>15.0000</AppVersion>
  <Pages>2</Pages>
  <Words>560</Words>
  <Characters>3219</Characters>
  <CharactersWithSpaces>3723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2012-05-21T17:54:00Z</dcterms:created>
  <dc:creator>ALS</dc:creator>
  <dc:description/>
  <dc:language>pt-BR</dc:language>
  <cp:lastModifiedBy/>
  <cp:lastPrinted>2019-04-05T15:50:39Z</cp:lastPrinted>
  <dcterms:modified xsi:type="dcterms:W3CDTF">2024-04-02T17:52:15Z</dcterms:modified>
  <cp:revision>664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